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仿宋_GB2312" w:eastAsia="仿宋_GB2312" w:cs="仿宋_GB2312"/>
          <w:color w:val="FF0000"/>
          <w:w w:val="66"/>
          <w:sz w:val="32"/>
          <w:szCs w:val="32"/>
        </w:rPr>
      </w:pPr>
      <w:r>
        <w:rPr>
          <w:rFonts w:hint="eastAsia" w:ascii="黑体" w:hAnsi="黑体" w:eastAsia="黑体" w:cs="黑体"/>
          <w:sz w:val="32"/>
          <w:szCs w:val="32"/>
        </w:rPr>
        <w:t>ZZCR-2020-0</w:t>
      </w:r>
      <w:r>
        <w:rPr>
          <w:rFonts w:hint="eastAsia" w:ascii="黑体" w:hAnsi="黑体" w:eastAsia="黑体" w:cs="黑体"/>
          <w:sz w:val="32"/>
          <w:szCs w:val="32"/>
          <w:lang w:val="en-US" w:eastAsia="zh-CN"/>
        </w:rPr>
        <w:t>34</w:t>
      </w:r>
      <w:r>
        <w:rPr>
          <w:rFonts w:hint="eastAsia" w:ascii="黑体" w:hAnsi="黑体" w:eastAsia="黑体" w:cs="黑体"/>
          <w:sz w:val="32"/>
          <w:szCs w:val="32"/>
        </w:rPr>
        <w:t>000</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color w:val="FF0000"/>
          <w:w w:val="66"/>
          <w:sz w:val="144"/>
          <w:szCs w:val="144"/>
        </w:rPr>
      </w:pPr>
      <w:r>
        <w:rPr>
          <w:rFonts w:hint="eastAsia" w:ascii="方正小标宋简体" w:hAnsi="方正小标宋简体" w:eastAsia="方正小标宋简体" w:cs="方正小标宋简体"/>
          <w:color w:val="FF0000"/>
          <w:w w:val="66"/>
          <w:sz w:val="144"/>
          <w:szCs w:val="144"/>
        </w:rPr>
        <w:t>枣 庄 市 统 计 局</w:t>
      </w:r>
    </w:p>
    <w:p>
      <w:pPr>
        <w:jc w:val="center"/>
        <w:rPr>
          <w:rFonts w:hint="eastAsia" w:ascii="方正小标宋简体" w:hAnsi="方正小标宋简体" w:eastAsia="方正小标宋简体" w:cs="方正小标宋简体"/>
          <w:color w:val="FF0000"/>
          <w:w w:val="66"/>
          <w:sz w:val="144"/>
          <w:szCs w:val="144"/>
        </w:rPr>
      </w:pPr>
      <w:r>
        <w:rPr>
          <w:rFonts w:hint="eastAsia" w:ascii="仿宋_GB2312" w:eastAsia="仿宋_GB2312"/>
          <w:color w:val="000000"/>
          <w:sz w:val="32"/>
          <w:szCs w:val="32"/>
        </w:rPr>
        <w:t>枣统字〔20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号</w:t>
      </w:r>
    </w:p>
    <w:p>
      <w:r>
        <w:pict>
          <v:line id="直接连接符 4" o:spid="_x0000_s1026" o:spt="20" style="position:absolute;left:0pt;flip:y;margin-left:18pt;margin-top:6.35pt;height:1.45pt;width:395.95pt;z-index:251658240;mso-width-relative:page;mso-height-relative:page;" filled="f" stroked="t" coordsize="21600,21600" o:gfxdata="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58WEdcAAAAIAQAADwAA&#10;AAAAAAABACAAAAAiAAAAZHJzL2Rvd25yZXYueG1sUEsBAhQAFAAAAAgAh07iQANEF0HeAQAAmQMA&#10;AA4AAAAAAAAAAQAgAAAAJgEAAGRycy9lMm9Eb2MueG1sUEsFBgAAAAAGAAYAWQEAAHYFAAAAAA==&#10;">
            <v:path arrowok="t"/>
            <v:fill on="f" focussize="0,0"/>
            <v:stroke weight="1.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bidi w:val="0"/>
        <w:snapToGrid/>
        <w:spacing w:line="510" w:lineRule="exact"/>
        <w:ind w:left="0" w:leftChars="0" w:right="0" w:rightChars="0"/>
        <w:jc w:val="center"/>
        <w:textAlignment w:val="auto"/>
        <w:outlineLvl w:val="9"/>
        <w:rPr>
          <w:rFonts w:hint="eastAsia" w:ascii="宋体" w:hAnsi="宋体"/>
          <w:b/>
          <w:sz w:val="44"/>
          <w:szCs w:val="44"/>
        </w:rPr>
      </w:pPr>
      <w:r>
        <w:rPr>
          <w:rFonts w:hint="eastAsia" w:ascii="宋体" w:hAnsi="宋体"/>
          <w:b/>
          <w:sz w:val="44"/>
          <w:szCs w:val="44"/>
          <w:lang w:eastAsia="zh-CN"/>
        </w:rPr>
        <w:t>枣庄市统计局</w:t>
      </w:r>
      <w:r>
        <w:rPr>
          <w:rFonts w:hint="eastAsia" w:ascii="宋体" w:hAnsi="宋体"/>
          <w:b/>
          <w:sz w:val="44"/>
          <w:szCs w:val="44"/>
        </w:rPr>
        <w:t>关于公布行政处罚</w:t>
      </w:r>
    </w:p>
    <w:p>
      <w:pPr>
        <w:keepNext w:val="0"/>
        <w:keepLines w:val="0"/>
        <w:pageBreakBefore w:val="0"/>
        <w:widowControl w:val="0"/>
        <w:kinsoku/>
        <w:wordWrap/>
        <w:overflowPunct/>
        <w:topLinePunct w:val="0"/>
        <w:bidi w:val="0"/>
        <w:snapToGrid/>
        <w:spacing w:line="510" w:lineRule="exact"/>
        <w:ind w:left="0" w:leftChars="0" w:right="0" w:rightChars="0"/>
        <w:jc w:val="center"/>
        <w:textAlignment w:val="auto"/>
        <w:outlineLvl w:val="9"/>
        <w:rPr>
          <w:rFonts w:ascii="宋体" w:hAnsi="宋体"/>
          <w:b/>
          <w:sz w:val="44"/>
          <w:szCs w:val="44"/>
        </w:rPr>
      </w:pPr>
      <w:r>
        <w:rPr>
          <w:rFonts w:hint="eastAsia" w:ascii="宋体" w:hAnsi="宋体"/>
          <w:b/>
          <w:sz w:val="44"/>
          <w:szCs w:val="44"/>
        </w:rPr>
        <w:t>裁量基准的通知</w:t>
      </w:r>
    </w:p>
    <w:p>
      <w:pPr>
        <w:keepNext w:val="0"/>
        <w:keepLines w:val="0"/>
        <w:pageBreakBefore w:val="0"/>
        <w:widowControl w:val="0"/>
        <w:kinsoku/>
        <w:wordWrap/>
        <w:overflowPunct/>
        <w:topLinePunct w:val="0"/>
        <w:bidi w:val="0"/>
        <w:snapToGrid/>
        <w:spacing w:line="51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1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lang w:bidi="ar"/>
        </w:rPr>
        <w:t>各区（市）统计局、高新区经发局</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根据《关于梳理和公布行政执法裁量基准的通知》（</w:t>
      </w:r>
      <w:r>
        <w:rPr>
          <w:rFonts w:hint="eastAsia" w:ascii="仿宋_GB2312" w:hAnsi="宋体" w:eastAsia="仿宋_GB2312"/>
          <w:sz w:val="32"/>
          <w:szCs w:val="32"/>
        </w:rPr>
        <w:t>枣司发〔2020〕28号</w:t>
      </w:r>
      <w:r>
        <w:rPr>
          <w:rFonts w:hint="eastAsia" w:ascii="仿宋_GB2312" w:eastAsia="仿宋_GB2312"/>
          <w:sz w:val="32"/>
          <w:szCs w:val="32"/>
        </w:rPr>
        <w:t>），我单位对行政处罚裁量基准进行认真梳理，现予以公布。</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黑体" w:eastAsia="黑体"/>
          <w:sz w:val="32"/>
          <w:szCs w:val="32"/>
        </w:rPr>
      </w:pPr>
      <w:r>
        <w:rPr>
          <w:rFonts w:hint="eastAsia" w:ascii="黑体" w:eastAsia="黑体"/>
          <w:sz w:val="32"/>
          <w:szCs w:val="32"/>
        </w:rPr>
        <w:t>一、执法依据</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我单位共实施法律、法规、规章</w:t>
      </w:r>
      <w:r>
        <w:rPr>
          <w:rFonts w:hint="eastAsia" w:ascii="仿宋_GB2312" w:eastAsia="仿宋_GB2312"/>
          <w:sz w:val="32"/>
          <w:szCs w:val="32"/>
          <w:lang w:val="en-US" w:eastAsia="zh-CN"/>
        </w:rPr>
        <w:t>3</w:t>
      </w:r>
      <w:r>
        <w:rPr>
          <w:rFonts w:hint="eastAsia" w:ascii="仿宋_GB2312" w:eastAsia="仿宋_GB2312"/>
          <w:sz w:val="32"/>
          <w:szCs w:val="32"/>
        </w:rPr>
        <w:t>部，其中法律</w:t>
      </w:r>
      <w:r>
        <w:rPr>
          <w:rFonts w:hint="eastAsia" w:ascii="仿宋_GB2312" w:eastAsia="仿宋_GB2312"/>
          <w:sz w:val="32"/>
          <w:szCs w:val="32"/>
          <w:lang w:val="en-US" w:eastAsia="zh-CN"/>
        </w:rPr>
        <w:t>2</w:t>
      </w:r>
      <w:r>
        <w:rPr>
          <w:rFonts w:hint="eastAsia" w:ascii="仿宋_GB2312" w:eastAsia="仿宋_GB2312"/>
          <w:sz w:val="32"/>
          <w:szCs w:val="32"/>
        </w:rPr>
        <w:t>部，行政法规</w:t>
      </w:r>
      <w:r>
        <w:rPr>
          <w:rFonts w:hint="eastAsia" w:ascii="仿宋_GB2312" w:eastAsia="仿宋_GB2312"/>
          <w:sz w:val="32"/>
          <w:szCs w:val="32"/>
          <w:lang w:val="en-US" w:eastAsia="zh-CN"/>
        </w:rPr>
        <w:t>1</w:t>
      </w:r>
      <w:r>
        <w:rPr>
          <w:rFonts w:hint="eastAsia" w:ascii="仿宋_GB2312" w:eastAsia="仿宋_GB2312"/>
          <w:sz w:val="32"/>
          <w:szCs w:val="32"/>
        </w:rPr>
        <w:t>部。</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ascii="黑体" w:eastAsia="黑体"/>
          <w:sz w:val="32"/>
          <w:szCs w:val="32"/>
        </w:rPr>
      </w:pPr>
      <w:r>
        <w:rPr>
          <w:rFonts w:hint="eastAsia" w:ascii="黑体" w:eastAsia="黑体"/>
          <w:sz w:val="32"/>
          <w:szCs w:val="32"/>
        </w:rPr>
        <w:t>二、行政处罚</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我单位实施含裁量权的行政处罚</w:t>
      </w:r>
      <w:r>
        <w:rPr>
          <w:rFonts w:hint="eastAsia" w:ascii="仿宋_GB2312" w:eastAsia="仿宋_GB2312"/>
          <w:sz w:val="32"/>
          <w:szCs w:val="32"/>
          <w:lang w:val="en-US" w:eastAsia="zh-CN"/>
        </w:rPr>
        <w:t>5</w:t>
      </w:r>
      <w:r>
        <w:rPr>
          <w:rFonts w:hint="eastAsia" w:ascii="仿宋_GB2312" w:eastAsia="仿宋_GB2312"/>
          <w:sz w:val="32"/>
          <w:szCs w:val="32"/>
        </w:rPr>
        <w:t>项，经细化后</w:t>
      </w:r>
      <w:r>
        <w:rPr>
          <w:rFonts w:hint="eastAsia" w:ascii="仿宋_GB2312" w:eastAsia="仿宋_GB2312"/>
          <w:sz w:val="32"/>
          <w:szCs w:val="32"/>
          <w:lang w:val="en-US" w:eastAsia="zh-CN"/>
        </w:rPr>
        <w:t>5</w:t>
      </w:r>
      <w:r>
        <w:rPr>
          <w:rFonts w:hint="eastAsia" w:ascii="仿宋_GB2312" w:eastAsia="仿宋_GB2312"/>
          <w:sz w:val="32"/>
          <w:szCs w:val="32"/>
        </w:rPr>
        <w:t>项。</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hint="eastAsia" w:ascii="黑体" w:eastAsia="黑体"/>
          <w:sz w:val="32"/>
          <w:szCs w:val="32"/>
          <w:lang w:eastAsia="zh-CN"/>
        </w:rPr>
      </w:pPr>
      <w:r>
        <w:rPr>
          <w:rFonts w:hint="eastAsia" w:ascii="黑体" w:eastAsia="黑体"/>
          <w:sz w:val="32"/>
          <w:szCs w:val="32"/>
          <w:lang w:eastAsia="zh-CN"/>
        </w:rPr>
        <w:t>三、有效期</w:t>
      </w:r>
    </w:p>
    <w:p>
      <w:pPr>
        <w:keepNext w:val="0"/>
        <w:keepLines w:val="0"/>
        <w:pageBreakBefore w:val="0"/>
        <w:widowControl w:val="0"/>
        <w:numPr>
          <w:ilvl w:val="0"/>
          <w:numId w:val="0"/>
        </w:numPr>
        <w:kinsoku/>
        <w:wordWrap/>
        <w:overflowPunct/>
        <w:topLinePunct w:val="0"/>
        <w:bidi w:val="0"/>
        <w:snapToGrid/>
        <w:spacing w:line="51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本通知自</w:t>
      </w:r>
      <w:r>
        <w:rPr>
          <w:rFonts w:hint="eastAsia" w:ascii="仿宋_GB2312" w:eastAsia="仿宋_GB2312"/>
          <w:sz w:val="32"/>
          <w:szCs w:val="32"/>
          <w:lang w:val="en-US" w:eastAsia="zh-CN"/>
        </w:rPr>
        <w:t>2020年11月30日起施行，有效期至2025年11月29日。</w:t>
      </w:r>
    </w:p>
    <w:p>
      <w:pPr>
        <w:keepNext w:val="0"/>
        <w:keepLines w:val="0"/>
        <w:pageBreakBefore w:val="0"/>
        <w:widowControl w:val="0"/>
        <w:kinsoku/>
        <w:wordWrap/>
        <w:overflowPunct/>
        <w:topLinePunct w:val="0"/>
        <w:bidi w:val="0"/>
        <w:snapToGrid/>
        <w:spacing w:line="51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eastAsia="zh-CN"/>
        </w:rPr>
        <w:t>枣庄市统计局统计行政处罚裁量基准</w:t>
      </w:r>
      <w:bookmarkStart w:id="0" w:name="_GoBack"/>
      <w:bookmarkEnd w:id="0"/>
    </w:p>
    <w:p>
      <w:pPr>
        <w:keepNext w:val="0"/>
        <w:keepLines w:val="0"/>
        <w:pageBreakBefore w:val="0"/>
        <w:widowControl w:val="0"/>
        <w:kinsoku/>
        <w:wordWrap/>
        <w:overflowPunct/>
        <w:topLinePunct w:val="0"/>
        <w:bidi w:val="0"/>
        <w:snapToGrid/>
        <w:spacing w:line="51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0" w:lineRule="exact"/>
        <w:ind w:left="0" w:lef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枣庄市统计局</w:t>
      </w:r>
    </w:p>
    <w:p>
      <w:pPr>
        <w:keepNext w:val="0"/>
        <w:keepLines w:val="0"/>
        <w:pageBreakBefore w:val="0"/>
        <w:widowControl w:val="0"/>
        <w:kinsoku/>
        <w:wordWrap/>
        <w:overflowPunct/>
        <w:topLinePunct w:val="0"/>
        <w:autoSpaceDE/>
        <w:autoSpaceDN/>
        <w:bidi w:val="0"/>
        <w:adjustRightInd/>
        <w:snapToGrid/>
        <w:spacing w:line="510" w:lineRule="exact"/>
        <w:ind w:left="0" w:leftChars="0" w:right="160" w:firstLine="4160" w:firstLineChars="1300"/>
        <w:jc w:val="righ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jc w:val="center"/>
        <w:rPr>
          <w:rFonts w:hint="eastAsia" w:ascii="方正小标宋简体" w:eastAsia="方正小标宋简体"/>
          <w:sz w:val="44"/>
          <w:szCs w:val="44"/>
        </w:rPr>
      </w:pPr>
      <w:r>
        <w:rPr>
          <w:sz w:val="44"/>
        </w:rPr>
        <w:pict>
          <v:shape id="_x0000_s1027" o:spid="_x0000_s1027" o:spt="202" type="#_x0000_t202" style="position:absolute;left:0pt;margin-left:-29.2pt;margin-top:-13.8pt;height:42pt;width:69.7pt;z-index:251659264;mso-width-relative:page;mso-height-relative:page;" fillcolor="#FFFFFF" filled="t" stroked="t" coordsize="21600,21600">
            <v:path/>
            <v:fill on="t" focussize="0,0"/>
            <v:stroke color="#FFFFFF"/>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txbxContent>
            </v:textbox>
          </v:shape>
        </w:pict>
      </w:r>
      <w:r>
        <w:rPr>
          <w:rFonts w:hint="eastAsia" w:ascii="方正小标宋简体" w:eastAsia="方正小标宋简体"/>
          <w:sz w:val="44"/>
          <w:szCs w:val="44"/>
        </w:rPr>
        <w:t>枣庄市统计局统计行政处罚裁量基准</w:t>
      </w:r>
    </w:p>
    <w:p>
      <w:pPr>
        <w:rPr>
          <w:rFonts w:hint="eastAsia"/>
        </w:rPr>
      </w:pPr>
    </w:p>
    <w:tbl>
      <w:tblPr>
        <w:tblStyle w:val="8"/>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513"/>
        <w:gridCol w:w="780"/>
        <w:gridCol w:w="2220"/>
        <w:gridCol w:w="825"/>
        <w:gridCol w:w="1485"/>
        <w:gridCol w:w="310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exact"/>
        </w:trPr>
        <w:tc>
          <w:tcPr>
            <w:tcW w:w="709" w:type="dxa"/>
            <w:vMerge w:val="restart"/>
            <w:vAlign w:val="center"/>
          </w:tcPr>
          <w:p>
            <w:pPr>
              <w:jc w:val="center"/>
              <w:rPr>
                <w:rFonts w:hint="eastAsia" w:ascii="宋体" w:hAnsi="宋体"/>
                <w:sz w:val="18"/>
                <w:szCs w:val="18"/>
                <w:lang w:eastAsia="zh-CN"/>
              </w:rPr>
            </w:pPr>
            <w:r>
              <w:rPr>
                <w:rFonts w:hint="eastAsia" w:ascii="宋体" w:hAnsi="宋体"/>
                <w:sz w:val="18"/>
                <w:szCs w:val="18"/>
                <w:lang w:eastAsia="zh-CN"/>
              </w:rPr>
              <w:t>统</w:t>
            </w:r>
          </w:p>
          <w:p>
            <w:pPr>
              <w:jc w:val="center"/>
              <w:rPr>
                <w:rFonts w:hint="eastAsia" w:ascii="宋体" w:hAnsi="宋体"/>
                <w:sz w:val="18"/>
                <w:szCs w:val="18"/>
                <w:lang w:eastAsia="zh-CN"/>
              </w:rPr>
            </w:pPr>
            <w:r>
              <w:rPr>
                <w:rFonts w:hint="eastAsia" w:ascii="宋体" w:hAnsi="宋体"/>
                <w:sz w:val="18"/>
                <w:szCs w:val="18"/>
                <w:lang w:eastAsia="zh-CN"/>
              </w:rPr>
              <w:t>计</w:t>
            </w:r>
          </w:p>
          <w:p>
            <w:pPr>
              <w:jc w:val="center"/>
              <w:rPr>
                <w:rFonts w:hint="eastAsia" w:ascii="宋体" w:hAnsi="宋体"/>
                <w:sz w:val="18"/>
                <w:szCs w:val="18"/>
              </w:rPr>
            </w:pPr>
            <w:r>
              <w:rPr>
                <w:rFonts w:hint="eastAsia" w:ascii="宋体" w:hAnsi="宋体"/>
                <w:sz w:val="18"/>
                <w:szCs w:val="18"/>
              </w:rPr>
              <w:t>管</w:t>
            </w:r>
          </w:p>
          <w:p>
            <w:pPr>
              <w:jc w:val="center"/>
              <w:rPr>
                <w:rFonts w:ascii="宋体" w:hAnsi="宋体"/>
                <w:sz w:val="18"/>
                <w:szCs w:val="18"/>
              </w:rPr>
            </w:pPr>
            <w:r>
              <w:rPr>
                <w:rFonts w:hint="eastAsia" w:ascii="宋体" w:hAnsi="宋体"/>
                <w:sz w:val="18"/>
                <w:szCs w:val="18"/>
              </w:rPr>
              <w:t>理</w:t>
            </w:r>
          </w:p>
        </w:tc>
        <w:tc>
          <w:tcPr>
            <w:tcW w:w="513" w:type="dxa"/>
            <w:vMerge w:val="restart"/>
            <w:vAlign w:val="center"/>
          </w:tcPr>
          <w:p>
            <w:pPr>
              <w:jc w:val="center"/>
              <w:rPr>
                <w:rFonts w:ascii="宋体" w:hAnsi="宋体"/>
                <w:sz w:val="18"/>
                <w:szCs w:val="18"/>
              </w:rPr>
            </w:pPr>
            <w:r>
              <w:rPr>
                <w:rFonts w:hint="eastAsia" w:ascii="宋体" w:hAnsi="宋体"/>
                <w:sz w:val="18"/>
                <w:szCs w:val="18"/>
              </w:rPr>
              <w:t>1</w:t>
            </w:r>
          </w:p>
        </w:tc>
        <w:tc>
          <w:tcPr>
            <w:tcW w:w="780" w:type="dxa"/>
            <w:vMerge w:val="restart"/>
            <w:vAlign w:val="center"/>
          </w:tcPr>
          <w:p>
            <w:pPr>
              <w:jc w:val="left"/>
              <w:rPr>
                <w:rFonts w:ascii="宋体" w:hAnsi="宋体"/>
                <w:sz w:val="18"/>
                <w:szCs w:val="18"/>
              </w:rPr>
            </w:pPr>
            <w:r>
              <w:rPr>
                <w:rFonts w:hint="eastAsia" w:ascii="宋体" w:hAnsi="宋体"/>
                <w:sz w:val="18"/>
                <w:szCs w:val="18"/>
              </w:rPr>
              <w:t>企业事业单位或者其他组织提供不真实统计资料的</w:t>
            </w:r>
          </w:p>
        </w:tc>
        <w:tc>
          <w:tcPr>
            <w:tcW w:w="2220" w:type="dxa"/>
            <w:vMerge w:val="restart"/>
            <w:vAlign w:val="center"/>
          </w:tcPr>
          <w:p>
            <w:pPr>
              <w:jc w:val="both"/>
              <w:rPr>
                <w:rFonts w:ascii="宋体" w:hAnsi="宋体"/>
                <w:sz w:val="18"/>
                <w:szCs w:val="18"/>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轻微</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违法数额比例不足30%的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违法数额不足2000万元的，给予“警告”或“警告并处五千元以上八千元以下罚款”；违法数额大于2000万元的，给予“警告并处八千元以上一万元以下罚款”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一般</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违法数额比例在30%以上60%以下的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违法数额不足2000万元的，给予“警告并处一万元以上一万五千元以下罚款”；违法数额大于2000万元的，给予“警告并处一万五千元以上两万元以下罚款”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3"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较重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违法数额比例在60%以上90%以下的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两万元以上两万五千元以下罚款”；违法数额大于2000万元小于5000万元的，给予“警告并处两万五千元以上三万五千元以下罚款”；违法数额大于5000万元的，给予“警告并处三万五千元以上五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ascii="宋体" w:hAnsi="宋体"/>
                <w:sz w:val="18"/>
                <w:szCs w:val="18"/>
              </w:rPr>
            </w:pPr>
            <w:r>
              <w:rPr>
                <w:rFonts w:hint="eastAsia" w:ascii="宋体" w:hAnsi="宋体"/>
                <w:sz w:val="18"/>
                <w:szCs w:val="18"/>
              </w:rPr>
              <w:t>严重</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违法数额比例在90%以上的；应报数额为0但又提供不真实统计数据，无法计算违法数额比例的</w:t>
            </w: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ascii="宋体" w:hAnsi="宋体"/>
                <w:sz w:val="18"/>
                <w:szCs w:val="18"/>
              </w:rPr>
            </w:pPr>
            <w:r>
              <w:rPr>
                <w:rFonts w:hint="eastAsia" w:ascii="宋体" w:hAnsi="宋体"/>
                <w:sz w:val="18"/>
                <w:szCs w:val="18"/>
              </w:rPr>
              <w:t>违法数额不足2000万元的，给予“警告并处五万元以上六万元以下罚款”；违法数额大于2000万元小于5000万元的，给予“警告并处六万元以上八万元以下罚款”；违法数额大于5000万元小于1亿元的，给予“警告并处八万元以上十二万元以下罚款”；违法数额大于1亿元的，给予“警告并处十二万元以上二十万元以下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7" w:hRule="exact"/>
        </w:trPr>
        <w:tc>
          <w:tcPr>
            <w:tcW w:w="709" w:type="dxa"/>
            <w:vMerge w:val="continue"/>
            <w:vAlign w:val="center"/>
          </w:tcPr>
          <w:p>
            <w:pPr>
              <w:jc w:val="center"/>
              <w:rPr>
                <w:rFonts w:ascii="宋体" w:hAnsi="宋体"/>
                <w:sz w:val="18"/>
                <w:szCs w:val="18"/>
              </w:rPr>
            </w:pPr>
          </w:p>
        </w:tc>
        <w:tc>
          <w:tcPr>
            <w:tcW w:w="513" w:type="dxa"/>
            <w:vMerge w:val="continue"/>
            <w:vAlign w:val="center"/>
          </w:tcPr>
          <w:p>
            <w:pPr>
              <w:jc w:val="center"/>
              <w:rPr>
                <w:rFonts w:ascii="宋体" w:hAnsi="宋体"/>
                <w:sz w:val="18"/>
                <w:szCs w:val="18"/>
              </w:rPr>
            </w:pPr>
          </w:p>
        </w:tc>
        <w:tc>
          <w:tcPr>
            <w:tcW w:w="780" w:type="dxa"/>
            <w:vMerge w:val="continue"/>
            <w:vAlign w:val="center"/>
          </w:tcPr>
          <w:p>
            <w:pPr>
              <w:jc w:val="center"/>
              <w:rPr>
                <w:rFonts w:ascii="宋体" w:hAnsi="宋体"/>
                <w:sz w:val="18"/>
                <w:szCs w:val="18"/>
              </w:rPr>
            </w:pPr>
          </w:p>
        </w:tc>
        <w:tc>
          <w:tcPr>
            <w:tcW w:w="2220" w:type="dxa"/>
            <w:vMerge w:val="continue"/>
            <w:vAlign w:val="center"/>
          </w:tcPr>
          <w:p>
            <w:pPr>
              <w:jc w:val="center"/>
              <w:rPr>
                <w:rFonts w:ascii="宋体" w:hAnsi="宋体"/>
                <w:sz w:val="18"/>
                <w:szCs w:val="18"/>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宋体" w:hAnsi="宋体"/>
                <w:sz w:val="18"/>
                <w:szCs w:val="18"/>
              </w:rPr>
            </w:pPr>
            <w:r>
              <w:rPr>
                <w:rFonts w:hint="eastAsia" w:ascii="宋体" w:hAnsi="宋体"/>
                <w:sz w:val="18"/>
                <w:szCs w:val="18"/>
              </w:rPr>
              <w:t>特别严重</w:t>
            </w:r>
          </w:p>
        </w:tc>
        <w:tc>
          <w:tcPr>
            <w:tcW w:w="1485" w:type="dxa"/>
            <w:vAlign w:val="center"/>
          </w:tcPr>
          <w:p>
            <w:pPr>
              <w:keepNext w:val="0"/>
              <w:keepLines w:val="0"/>
              <w:pageBreakBefore w:val="0"/>
              <w:widowControl/>
              <w:kinsoku/>
              <w:wordWrap/>
              <w:overflowPunct/>
              <w:topLinePunct w:val="0"/>
              <w:autoSpaceDE/>
              <w:autoSpaceDN/>
              <w:bidi w:val="0"/>
              <w:adjustRightInd/>
              <w:snapToGrid/>
              <w:spacing w:before="75" w:line="220" w:lineRule="exact"/>
              <w:ind w:left="0" w:leftChars="0" w:right="0" w:rightChars="0" w:firstLine="0" w:firstLineChars="0"/>
              <w:jc w:val="both"/>
              <w:textAlignment w:val="auto"/>
              <w:outlineLvl w:val="9"/>
              <w:rPr>
                <w:rFonts w:hint="eastAsia" w:ascii="宋体" w:hAnsi="宋体"/>
                <w:sz w:val="18"/>
                <w:szCs w:val="18"/>
              </w:rPr>
            </w:pPr>
            <w:r>
              <w:rPr>
                <w:rFonts w:hint="eastAsia" w:ascii="宋体" w:hAnsi="宋体"/>
                <w:sz w:val="18"/>
                <w:szCs w:val="18"/>
              </w:rPr>
              <w:t>有下列情形之一的，且不适用于认定为“非自身原因提供不真实统计资料的行为”的减轻情节的：（1）违法数额达到所在行政区域（县级行政区域）该指标上年同期总额的1%以上；（2）违法数额大于50亿元；（3）违法行为当事人在执法检查过程中使用暴力或者威胁方法拒绝、阻碍执法检查或者拒绝、阻碍执法检查，严重影响相关工作正常开展的</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hint="eastAsia" w:ascii="宋体" w:hAnsi="宋体"/>
                <w:sz w:val="18"/>
                <w:szCs w:val="18"/>
              </w:rPr>
            </w:pPr>
            <w:r>
              <w:rPr>
                <w:rFonts w:hint="eastAsia" w:ascii="宋体" w:hAnsi="宋体"/>
                <w:sz w:val="18"/>
                <w:szCs w:val="18"/>
              </w:rPr>
              <w:t>警告并处二十万元罚款</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exact"/>
        </w:trPr>
        <w:tc>
          <w:tcPr>
            <w:tcW w:w="709" w:type="dxa"/>
            <w:vAlign w:val="center"/>
          </w:tcPr>
          <w:p>
            <w:pPr>
              <w:jc w:val="center"/>
              <w:rPr>
                <w:b/>
                <w:sz w:val="24"/>
                <w:szCs w:val="24"/>
              </w:rPr>
            </w:pPr>
            <w:r>
              <w:rPr>
                <w:rFonts w:hint="eastAsia"/>
                <w:b/>
                <w:sz w:val="24"/>
                <w:szCs w:val="24"/>
              </w:rPr>
              <w:t>类别</w:t>
            </w:r>
          </w:p>
        </w:tc>
        <w:tc>
          <w:tcPr>
            <w:tcW w:w="513" w:type="dxa"/>
            <w:vAlign w:val="center"/>
          </w:tcPr>
          <w:p>
            <w:pPr>
              <w:jc w:val="center"/>
              <w:rPr>
                <w:b/>
                <w:sz w:val="24"/>
                <w:szCs w:val="24"/>
              </w:rPr>
            </w:pPr>
            <w:r>
              <w:rPr>
                <w:rFonts w:hint="eastAsia"/>
                <w:b/>
                <w:sz w:val="24"/>
                <w:szCs w:val="24"/>
              </w:rPr>
              <w:t>序号</w:t>
            </w:r>
          </w:p>
        </w:tc>
        <w:tc>
          <w:tcPr>
            <w:tcW w:w="780" w:type="dxa"/>
            <w:vAlign w:val="center"/>
          </w:tcPr>
          <w:p>
            <w:pPr>
              <w:jc w:val="center"/>
              <w:rPr>
                <w:b/>
                <w:sz w:val="24"/>
                <w:szCs w:val="24"/>
              </w:rPr>
            </w:pPr>
            <w:r>
              <w:rPr>
                <w:rFonts w:hint="eastAsia"/>
                <w:b/>
                <w:sz w:val="24"/>
                <w:szCs w:val="24"/>
              </w:rPr>
              <w:t>违法行为</w:t>
            </w:r>
          </w:p>
        </w:tc>
        <w:tc>
          <w:tcPr>
            <w:tcW w:w="2220" w:type="dxa"/>
            <w:vAlign w:val="center"/>
          </w:tcPr>
          <w:p>
            <w:pPr>
              <w:jc w:val="center"/>
              <w:rPr>
                <w:b/>
                <w:sz w:val="24"/>
                <w:szCs w:val="24"/>
              </w:rPr>
            </w:pPr>
            <w:r>
              <w:rPr>
                <w:rFonts w:hint="eastAsia"/>
                <w:b/>
                <w:sz w:val="24"/>
                <w:szCs w:val="24"/>
              </w:rPr>
              <w:t>处罚依据</w:t>
            </w:r>
          </w:p>
        </w:tc>
        <w:tc>
          <w:tcPr>
            <w:tcW w:w="825" w:type="dxa"/>
            <w:vAlign w:val="center"/>
          </w:tcPr>
          <w:p>
            <w:pPr>
              <w:jc w:val="center"/>
              <w:rPr>
                <w:b/>
                <w:sz w:val="24"/>
                <w:szCs w:val="24"/>
              </w:rPr>
            </w:pPr>
            <w:r>
              <w:rPr>
                <w:rFonts w:hint="eastAsia"/>
                <w:b/>
                <w:sz w:val="24"/>
                <w:szCs w:val="24"/>
              </w:rPr>
              <w:t>裁量档次</w:t>
            </w:r>
          </w:p>
        </w:tc>
        <w:tc>
          <w:tcPr>
            <w:tcW w:w="1485" w:type="dxa"/>
            <w:vAlign w:val="center"/>
          </w:tcPr>
          <w:p>
            <w:pPr>
              <w:jc w:val="center"/>
              <w:rPr>
                <w:b/>
                <w:sz w:val="24"/>
                <w:szCs w:val="24"/>
              </w:rPr>
            </w:pPr>
            <w:r>
              <w:rPr>
                <w:rFonts w:hint="eastAsia"/>
                <w:b/>
                <w:sz w:val="24"/>
                <w:szCs w:val="24"/>
              </w:rPr>
              <w:t>违法行为表现形式</w:t>
            </w:r>
          </w:p>
        </w:tc>
        <w:tc>
          <w:tcPr>
            <w:tcW w:w="310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3"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513" w:type="dxa"/>
            <w:vMerge w:val="restart"/>
            <w:vAlign w:val="center"/>
          </w:tcPr>
          <w:p>
            <w:pPr>
              <w:jc w:val="center"/>
              <w:rPr>
                <w:rFonts w:ascii="宋体" w:hAnsi="宋体"/>
                <w:szCs w:val="21"/>
              </w:rPr>
            </w:pPr>
            <w:r>
              <w:rPr>
                <w:rFonts w:hint="eastAsia" w:ascii="宋体" w:hAnsi="宋体"/>
                <w:szCs w:val="21"/>
              </w:rPr>
              <w:t>2</w:t>
            </w:r>
          </w:p>
        </w:tc>
        <w:tc>
          <w:tcPr>
            <w:tcW w:w="780" w:type="dxa"/>
            <w:vMerge w:val="restart"/>
            <w:vAlign w:val="center"/>
          </w:tcPr>
          <w:p>
            <w:pPr>
              <w:jc w:val="left"/>
              <w:rPr>
                <w:rFonts w:ascii="宋体" w:hAnsi="宋体"/>
                <w:szCs w:val="21"/>
              </w:rPr>
            </w:pPr>
            <w:r>
              <w:rPr>
                <w:rFonts w:hint="eastAsia" w:ascii="宋体" w:hAnsi="宋体"/>
                <w:szCs w:val="21"/>
              </w:rPr>
              <w:t>企业事业单位或者其他组织拒绝提供统计资料或者经催报后仍未按时提供统计资料的</w:t>
            </w:r>
          </w:p>
        </w:tc>
        <w:tc>
          <w:tcPr>
            <w:tcW w:w="2220" w:type="dxa"/>
            <w:vMerge w:val="restart"/>
            <w:vAlign w:val="center"/>
          </w:tcPr>
          <w:p>
            <w:pPr>
              <w:jc w:val="both"/>
              <w:rPr>
                <w:rFonts w:ascii="宋体" w:hAnsi="宋体"/>
                <w:szCs w:val="21"/>
              </w:rPr>
            </w:pPr>
            <w:r>
              <w:rPr>
                <w:rFonts w:hint="eastAsia" w:ascii="宋体" w:hAnsi="宋体"/>
                <w:sz w:val="18"/>
                <w:szCs w:val="18"/>
                <w:lang w:eastAsia="zh-CN"/>
              </w:rPr>
              <w:t>《中华人民共和国统计法》第四十一条：“</w:t>
            </w:r>
            <w:r>
              <w:rPr>
                <w:rFonts w:hint="eastAsia" w:ascii="宋体" w:hAnsi="宋体"/>
                <w:sz w:val="18"/>
                <w:szCs w:val="18"/>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 w:val="18"/>
                <w:szCs w:val="18"/>
                <w:lang w:eastAsia="zh-CN"/>
              </w:rPr>
              <w:t>”</w:t>
            </w:r>
            <w:r>
              <w:rPr>
                <w:rFonts w:hint="eastAsia" w:ascii="宋体" w:hAnsi="宋体"/>
                <w:sz w:val="18"/>
                <w:szCs w:val="18"/>
              </w:rPr>
              <w:t>。</w:t>
            </w:r>
          </w:p>
        </w:tc>
        <w:tc>
          <w:tcPr>
            <w:tcW w:w="82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48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一年内出现1次的</w:t>
            </w:r>
          </w:p>
        </w:tc>
        <w:tc>
          <w:tcPr>
            <w:tcW w:w="3108"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8"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48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一年内出现2次的</w:t>
            </w:r>
          </w:p>
        </w:tc>
        <w:tc>
          <w:tcPr>
            <w:tcW w:w="310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给予“警告并处一万元以上五万元元以下罚款”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3" w:hRule="exact"/>
        </w:trPr>
        <w:tc>
          <w:tcPr>
            <w:tcW w:w="709" w:type="dxa"/>
            <w:vMerge w:val="continue"/>
            <w:vAlign w:val="center"/>
          </w:tcPr>
          <w:p>
            <w:pPr>
              <w:jc w:val="center"/>
              <w:rPr>
                <w:rFonts w:hint="eastAsia" w:ascii="宋体" w:hAnsi="宋体"/>
                <w:szCs w:val="21"/>
              </w:rPr>
            </w:pPr>
          </w:p>
        </w:tc>
        <w:tc>
          <w:tcPr>
            <w:tcW w:w="513" w:type="dxa"/>
            <w:vMerge w:val="continue"/>
            <w:vAlign w:val="center"/>
          </w:tcPr>
          <w:p>
            <w:pPr>
              <w:jc w:val="center"/>
              <w:rPr>
                <w:rFonts w:hint="eastAsia" w:ascii="宋体" w:hAnsi="宋体"/>
                <w:szCs w:val="21"/>
              </w:rPr>
            </w:pPr>
          </w:p>
        </w:tc>
        <w:tc>
          <w:tcPr>
            <w:tcW w:w="780" w:type="dxa"/>
            <w:vMerge w:val="continue"/>
            <w:vAlign w:val="center"/>
          </w:tcPr>
          <w:p>
            <w:pPr>
              <w:jc w:val="left"/>
              <w:rPr>
                <w:rFonts w:hint="eastAsia" w:ascii="宋体" w:hAnsi="宋体"/>
                <w:szCs w:val="21"/>
              </w:rPr>
            </w:pPr>
          </w:p>
        </w:tc>
        <w:tc>
          <w:tcPr>
            <w:tcW w:w="2220" w:type="dxa"/>
            <w:vMerge w:val="continue"/>
            <w:vAlign w:val="center"/>
          </w:tcPr>
          <w:p>
            <w:pPr>
              <w:jc w:val="center"/>
              <w:rPr>
                <w:rFonts w:hint="eastAsia" w:ascii="宋体" w:hAnsi="宋体"/>
                <w:szCs w:val="21"/>
              </w:rPr>
            </w:pPr>
          </w:p>
        </w:tc>
        <w:tc>
          <w:tcPr>
            <w:tcW w:w="82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48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一年内出现3次以上的</w:t>
            </w:r>
          </w:p>
        </w:tc>
        <w:tc>
          <w:tcPr>
            <w:tcW w:w="3108"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给予“警告并处五万元以上二十万元以下罚款”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1276"/>
        <w:gridCol w:w="1684"/>
        <w:gridCol w:w="1515"/>
        <w:gridCol w:w="1365"/>
        <w:gridCol w:w="2382"/>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1276" w:type="dxa"/>
            <w:vAlign w:val="center"/>
          </w:tcPr>
          <w:p>
            <w:pPr>
              <w:jc w:val="center"/>
              <w:rPr>
                <w:b/>
                <w:sz w:val="24"/>
                <w:szCs w:val="24"/>
              </w:rPr>
            </w:pPr>
            <w:r>
              <w:rPr>
                <w:rFonts w:hint="eastAsia"/>
                <w:b/>
                <w:sz w:val="24"/>
                <w:szCs w:val="24"/>
              </w:rPr>
              <w:t>违法行为</w:t>
            </w:r>
          </w:p>
        </w:tc>
        <w:tc>
          <w:tcPr>
            <w:tcW w:w="1684" w:type="dxa"/>
            <w:vAlign w:val="center"/>
          </w:tcPr>
          <w:p>
            <w:pPr>
              <w:jc w:val="center"/>
              <w:rPr>
                <w:b/>
                <w:sz w:val="24"/>
                <w:szCs w:val="24"/>
              </w:rPr>
            </w:pPr>
            <w:r>
              <w:rPr>
                <w:rFonts w:hint="eastAsia"/>
                <w:b/>
                <w:sz w:val="24"/>
                <w:szCs w:val="24"/>
              </w:rPr>
              <w:t>处罚依据</w:t>
            </w:r>
          </w:p>
        </w:tc>
        <w:tc>
          <w:tcPr>
            <w:tcW w:w="1515" w:type="dxa"/>
            <w:vAlign w:val="center"/>
          </w:tcPr>
          <w:p>
            <w:pPr>
              <w:jc w:val="center"/>
              <w:rPr>
                <w:b/>
                <w:sz w:val="24"/>
                <w:szCs w:val="24"/>
              </w:rPr>
            </w:pPr>
            <w:r>
              <w:rPr>
                <w:rFonts w:hint="eastAsia"/>
                <w:b/>
                <w:sz w:val="24"/>
                <w:szCs w:val="24"/>
              </w:rPr>
              <w:t>裁量档次</w:t>
            </w:r>
          </w:p>
        </w:tc>
        <w:tc>
          <w:tcPr>
            <w:tcW w:w="1365" w:type="dxa"/>
            <w:vAlign w:val="center"/>
          </w:tcPr>
          <w:p>
            <w:pPr>
              <w:jc w:val="center"/>
              <w:rPr>
                <w:b/>
                <w:sz w:val="24"/>
                <w:szCs w:val="24"/>
              </w:rPr>
            </w:pPr>
            <w:r>
              <w:rPr>
                <w:rFonts w:hint="eastAsia"/>
                <w:b/>
                <w:sz w:val="24"/>
                <w:szCs w:val="24"/>
              </w:rPr>
              <w:t>违法行为表现形式</w:t>
            </w:r>
          </w:p>
        </w:tc>
        <w:tc>
          <w:tcPr>
            <w:tcW w:w="2382"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8"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ascii="宋体" w:hAnsi="宋体"/>
                <w:szCs w:val="21"/>
              </w:rPr>
            </w:pPr>
            <w:r>
              <w:rPr>
                <w:rFonts w:hint="eastAsia" w:ascii="宋体" w:hAnsi="宋体"/>
                <w:szCs w:val="21"/>
              </w:rPr>
              <w:t>3</w:t>
            </w:r>
          </w:p>
        </w:tc>
        <w:tc>
          <w:tcPr>
            <w:tcW w:w="1276" w:type="dxa"/>
            <w:vMerge w:val="restart"/>
            <w:vAlign w:val="center"/>
          </w:tcPr>
          <w:p>
            <w:pPr>
              <w:jc w:val="left"/>
              <w:rPr>
                <w:rFonts w:ascii="宋体" w:hAnsi="宋体"/>
                <w:szCs w:val="21"/>
              </w:rPr>
            </w:pPr>
            <w:r>
              <w:rPr>
                <w:rFonts w:hint="eastAsia" w:ascii="宋体" w:hAnsi="宋体"/>
                <w:szCs w:val="21"/>
              </w:rPr>
              <w:t>企业事业单位或者其他组织迟报统计资料的</w:t>
            </w:r>
          </w:p>
        </w:tc>
        <w:tc>
          <w:tcPr>
            <w:tcW w:w="1684" w:type="dxa"/>
            <w:vMerge w:val="restart"/>
            <w:vAlign w:val="center"/>
          </w:tcPr>
          <w:p>
            <w:pPr>
              <w:rPr>
                <w:rFonts w:ascii="宋体" w:hAnsi="宋体"/>
                <w:szCs w:val="21"/>
              </w:rPr>
            </w:pPr>
            <w:r>
              <w:rPr>
                <w:rFonts w:hint="eastAsia" w:ascii="宋体" w:hAnsi="宋体"/>
                <w:szCs w:val="21"/>
              </w:rPr>
              <w:t>《中华人民共和国统计法》第</w:t>
            </w:r>
            <w:r>
              <w:rPr>
                <w:rFonts w:hint="eastAsia" w:ascii="宋体" w:hAnsi="宋体"/>
                <w:szCs w:val="21"/>
                <w:lang w:eastAsia="zh-CN"/>
              </w:rPr>
              <w:t>四十二</w:t>
            </w:r>
            <w:r>
              <w:rPr>
                <w:rFonts w:hint="eastAsia" w:ascii="宋体" w:hAnsi="宋体"/>
                <w:szCs w:val="21"/>
              </w:rPr>
              <w:t>条：“</w:t>
            </w:r>
            <w:r>
              <w:rPr>
                <w:rFonts w:hint="eastAsia"/>
              </w:rPr>
              <w:t>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tc>
        <w:tc>
          <w:tcPr>
            <w:tcW w:w="1515"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65" w:type="dxa"/>
            <w:tcBorders>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一年内迟报1次的</w:t>
            </w:r>
          </w:p>
        </w:tc>
        <w:tc>
          <w:tcPr>
            <w:tcW w:w="2382" w:type="dxa"/>
            <w:tcBorders>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给予“警告并处三千元以下罚款”</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8"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65" w:type="dxa"/>
            <w:tcBorders>
              <w:top w:val="single" w:color="auto" w:sz="4" w:space="0"/>
              <w:bottom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一年内迟报2次的</w:t>
            </w:r>
          </w:p>
        </w:tc>
        <w:tc>
          <w:tcPr>
            <w:tcW w:w="2382"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给予“警告并处三千元以上六千元以下罚款”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43"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1276" w:type="dxa"/>
            <w:vMerge w:val="continue"/>
            <w:vAlign w:val="center"/>
          </w:tcPr>
          <w:p>
            <w:pPr>
              <w:jc w:val="left"/>
              <w:rPr>
                <w:rFonts w:hint="eastAsia" w:ascii="宋体" w:hAnsi="宋体"/>
                <w:szCs w:val="21"/>
              </w:rPr>
            </w:pPr>
          </w:p>
        </w:tc>
        <w:tc>
          <w:tcPr>
            <w:tcW w:w="1684" w:type="dxa"/>
            <w:vMerge w:val="continue"/>
            <w:vAlign w:val="center"/>
          </w:tcPr>
          <w:p>
            <w:pPr>
              <w:jc w:val="center"/>
              <w:rPr>
                <w:rFonts w:hint="eastAsia" w:ascii="宋体" w:hAnsi="宋体"/>
                <w:szCs w:val="21"/>
              </w:rPr>
            </w:pPr>
          </w:p>
        </w:tc>
        <w:tc>
          <w:tcPr>
            <w:tcW w:w="1515" w:type="dxa"/>
            <w:tcBorders>
              <w:top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严重</w:t>
            </w:r>
          </w:p>
        </w:tc>
        <w:tc>
          <w:tcPr>
            <w:tcW w:w="1365" w:type="dxa"/>
            <w:tcBorders>
              <w:top w:val="single" w:color="auto" w:sz="4" w:space="0"/>
            </w:tcBorders>
            <w:vAlign w:val="center"/>
          </w:tcPr>
          <w:p>
            <w:pPr>
              <w:widowControl/>
              <w:spacing w:before="75" w:line="360" w:lineRule="exact"/>
              <w:jc w:val="left"/>
              <w:rPr>
                <w:rFonts w:hint="eastAsia" w:ascii="宋体" w:hAnsi="宋体"/>
                <w:szCs w:val="21"/>
              </w:rPr>
            </w:pPr>
            <w:r>
              <w:rPr>
                <w:rFonts w:hint="eastAsia" w:ascii="宋体" w:hAnsi="宋体"/>
                <w:szCs w:val="21"/>
              </w:rPr>
              <w:t>一年内迟报3次以上的</w:t>
            </w:r>
          </w:p>
        </w:tc>
        <w:tc>
          <w:tcPr>
            <w:tcW w:w="2382" w:type="dxa"/>
            <w:tcBorders>
              <w:top w:val="single" w:color="auto" w:sz="4" w:space="0"/>
            </w:tcBorders>
            <w:vAlign w:val="center"/>
          </w:tcPr>
          <w:p>
            <w:pPr>
              <w:jc w:val="left"/>
              <w:rPr>
                <w:rFonts w:hint="eastAsia" w:ascii="宋体" w:hAnsi="宋体"/>
                <w:szCs w:val="21"/>
              </w:rPr>
            </w:pPr>
            <w:r>
              <w:rPr>
                <w:rFonts w:hint="eastAsia" w:ascii="宋体" w:hAnsi="宋体"/>
                <w:szCs w:val="21"/>
              </w:rPr>
              <w:t>给予“警告并处六千元以上一万元以下罚款”</w:t>
            </w:r>
          </w:p>
        </w:tc>
        <w:tc>
          <w:tcPr>
            <w:tcW w:w="708" w:type="dxa"/>
            <w:tcBorders>
              <w:top w:val="single" w:color="auto" w:sz="4" w:space="0"/>
            </w:tcBorders>
            <w:vAlign w:val="center"/>
          </w:tcPr>
          <w:p>
            <w:pPr>
              <w:jc w:val="cente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8"/>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提供不完整的统计资料的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《中华人民共和国统计法》第四十一条：“</w:t>
            </w:r>
            <w:r>
              <w:rPr>
                <w:rFonts w:hint="eastAsia" w:ascii="宋体" w:hAnsi="宋体"/>
                <w:szCs w:val="21"/>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 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szCs w:val="21"/>
                <w:lang w:eastAsia="zh-CN"/>
              </w:rPr>
              <w:t>”</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给予“警告”或“警告并处五千元以下罚款”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五千</w:t>
            </w:r>
            <w:r>
              <w:rPr>
                <w:rFonts w:hint="eastAsia" w:ascii="宋体" w:hAnsi="宋体"/>
                <w:szCs w:val="21"/>
              </w:rPr>
              <w:t>元以上一万元以下罚款”</w:t>
            </w:r>
          </w:p>
        </w:tc>
        <w:tc>
          <w:tcPr>
            <w:tcW w:w="708" w:type="dxa"/>
            <w:tcBorders>
              <w:top w:val="single" w:color="auto" w:sz="4" w:space="0"/>
              <w:bottom w:val="single" w:color="auto" w:sz="4" w:space="0"/>
            </w:tcBorders>
            <w:vAlign w:val="center"/>
          </w:tcPr>
          <w:p>
            <w:pPr>
              <w:jc w:val="center"/>
            </w:pPr>
          </w:p>
        </w:tc>
      </w:tr>
    </w:tbl>
    <w:p/>
    <w:p/>
    <w:p/>
    <w:tbl>
      <w:tblPr>
        <w:tblStyle w:val="8"/>
        <w:tblW w:w="1034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14"/>
        <w:gridCol w:w="3285"/>
        <w:gridCol w:w="1350"/>
        <w:gridCol w:w="1395"/>
        <w:gridCol w:w="147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exact"/>
        </w:trPr>
        <w:tc>
          <w:tcPr>
            <w:tcW w:w="709" w:type="dxa"/>
            <w:vAlign w:val="center"/>
          </w:tcPr>
          <w:p>
            <w:pPr>
              <w:jc w:val="center"/>
              <w:rPr>
                <w:b/>
                <w:sz w:val="24"/>
                <w:szCs w:val="24"/>
              </w:rPr>
            </w:pPr>
            <w:r>
              <w:rPr>
                <w:rFonts w:hint="eastAsia"/>
                <w:b/>
                <w:sz w:val="24"/>
                <w:szCs w:val="24"/>
              </w:rPr>
              <w:t>类别</w:t>
            </w:r>
          </w:p>
        </w:tc>
        <w:tc>
          <w:tcPr>
            <w:tcW w:w="709" w:type="dxa"/>
            <w:vAlign w:val="center"/>
          </w:tcPr>
          <w:p>
            <w:pPr>
              <w:jc w:val="center"/>
              <w:rPr>
                <w:b/>
                <w:sz w:val="24"/>
                <w:szCs w:val="24"/>
              </w:rPr>
            </w:pPr>
            <w:r>
              <w:rPr>
                <w:rFonts w:hint="eastAsia"/>
                <w:b/>
                <w:sz w:val="24"/>
                <w:szCs w:val="24"/>
              </w:rPr>
              <w:t>序号</w:t>
            </w:r>
          </w:p>
        </w:tc>
        <w:tc>
          <w:tcPr>
            <w:tcW w:w="714" w:type="dxa"/>
            <w:vAlign w:val="center"/>
          </w:tcPr>
          <w:p>
            <w:pPr>
              <w:jc w:val="center"/>
              <w:rPr>
                <w:b/>
                <w:sz w:val="24"/>
                <w:szCs w:val="24"/>
              </w:rPr>
            </w:pPr>
            <w:r>
              <w:rPr>
                <w:rFonts w:hint="eastAsia"/>
                <w:b/>
                <w:sz w:val="24"/>
                <w:szCs w:val="24"/>
              </w:rPr>
              <w:t>违法行为</w:t>
            </w:r>
          </w:p>
        </w:tc>
        <w:tc>
          <w:tcPr>
            <w:tcW w:w="3285" w:type="dxa"/>
            <w:vAlign w:val="center"/>
          </w:tcPr>
          <w:p>
            <w:pPr>
              <w:jc w:val="center"/>
              <w:rPr>
                <w:b/>
                <w:sz w:val="24"/>
                <w:szCs w:val="24"/>
              </w:rPr>
            </w:pPr>
            <w:r>
              <w:rPr>
                <w:rFonts w:hint="eastAsia"/>
                <w:b/>
                <w:sz w:val="24"/>
                <w:szCs w:val="24"/>
              </w:rPr>
              <w:t>处罚依据</w:t>
            </w:r>
          </w:p>
        </w:tc>
        <w:tc>
          <w:tcPr>
            <w:tcW w:w="1350" w:type="dxa"/>
            <w:vAlign w:val="center"/>
          </w:tcPr>
          <w:p>
            <w:pPr>
              <w:jc w:val="center"/>
              <w:rPr>
                <w:b/>
                <w:sz w:val="24"/>
                <w:szCs w:val="24"/>
              </w:rPr>
            </w:pPr>
            <w:r>
              <w:rPr>
                <w:rFonts w:hint="eastAsia"/>
                <w:b/>
                <w:sz w:val="24"/>
                <w:szCs w:val="24"/>
              </w:rPr>
              <w:t>裁量档次</w:t>
            </w:r>
          </w:p>
        </w:tc>
        <w:tc>
          <w:tcPr>
            <w:tcW w:w="1395" w:type="dxa"/>
            <w:vAlign w:val="center"/>
          </w:tcPr>
          <w:p>
            <w:pPr>
              <w:jc w:val="center"/>
              <w:rPr>
                <w:b/>
                <w:sz w:val="24"/>
                <w:szCs w:val="24"/>
              </w:rPr>
            </w:pPr>
            <w:r>
              <w:rPr>
                <w:rFonts w:hint="eastAsia"/>
                <w:b/>
                <w:sz w:val="24"/>
                <w:szCs w:val="24"/>
              </w:rPr>
              <w:t>违法行为表现形式</w:t>
            </w:r>
          </w:p>
        </w:tc>
        <w:tc>
          <w:tcPr>
            <w:tcW w:w="1478" w:type="dxa"/>
            <w:vAlign w:val="center"/>
          </w:tcPr>
          <w:p>
            <w:pPr>
              <w:jc w:val="center"/>
              <w:rPr>
                <w:b/>
                <w:sz w:val="24"/>
                <w:szCs w:val="24"/>
              </w:rPr>
            </w:pPr>
            <w:r>
              <w:rPr>
                <w:rFonts w:hint="eastAsia"/>
                <w:b/>
                <w:sz w:val="24"/>
                <w:szCs w:val="24"/>
              </w:rPr>
              <w:t>裁量标准</w:t>
            </w:r>
          </w:p>
        </w:tc>
        <w:tc>
          <w:tcPr>
            <w:tcW w:w="708" w:type="dxa"/>
            <w:vAlign w:val="center"/>
          </w:tcPr>
          <w:p>
            <w:pPr>
              <w:jc w:val="center"/>
              <w:rPr>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restart"/>
            <w:vAlign w:val="center"/>
          </w:tcPr>
          <w:p>
            <w:pPr>
              <w:jc w:val="center"/>
              <w:rPr>
                <w:rFonts w:hint="eastAsia" w:ascii="宋体" w:hAnsi="宋体"/>
                <w:szCs w:val="21"/>
                <w:lang w:eastAsia="zh-CN"/>
              </w:rPr>
            </w:pPr>
            <w:r>
              <w:rPr>
                <w:rFonts w:hint="eastAsia" w:ascii="宋体" w:hAnsi="宋体"/>
                <w:szCs w:val="21"/>
                <w:lang w:eastAsia="zh-CN"/>
              </w:rPr>
              <w:t>统</w:t>
            </w:r>
          </w:p>
          <w:p>
            <w:pPr>
              <w:jc w:val="center"/>
              <w:rPr>
                <w:rFonts w:hint="eastAsia" w:ascii="宋体" w:hAnsi="宋体"/>
                <w:szCs w:val="21"/>
                <w:lang w:eastAsia="zh-CN"/>
              </w:rPr>
            </w:pPr>
            <w:r>
              <w:rPr>
                <w:rFonts w:hint="eastAsia" w:ascii="宋体" w:hAnsi="宋体"/>
                <w:szCs w:val="21"/>
                <w:lang w:eastAsia="zh-CN"/>
              </w:rPr>
              <w:t>计</w:t>
            </w:r>
          </w:p>
          <w:p>
            <w:pPr>
              <w:jc w:val="center"/>
              <w:rPr>
                <w:rFonts w:hint="eastAsia" w:ascii="宋体" w:hAnsi="宋体"/>
                <w:szCs w:val="21"/>
              </w:rPr>
            </w:pPr>
            <w:r>
              <w:rPr>
                <w:rFonts w:hint="eastAsia" w:ascii="宋体" w:hAnsi="宋体"/>
                <w:szCs w:val="21"/>
              </w:rPr>
              <w:t>管</w:t>
            </w:r>
          </w:p>
          <w:p>
            <w:pPr>
              <w:jc w:val="center"/>
              <w:rPr>
                <w:rFonts w:ascii="宋体" w:hAnsi="宋体"/>
                <w:szCs w:val="21"/>
              </w:rPr>
            </w:pPr>
            <w:r>
              <w:rPr>
                <w:rFonts w:hint="eastAsia" w:ascii="宋体" w:hAnsi="宋体"/>
                <w:szCs w:val="21"/>
              </w:rPr>
              <w:t>理</w:t>
            </w:r>
          </w:p>
        </w:tc>
        <w:tc>
          <w:tcPr>
            <w:tcW w:w="709" w:type="dxa"/>
            <w:vMerge w:val="restart"/>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714" w:type="dxa"/>
            <w:vMerge w:val="restart"/>
            <w:vAlign w:val="center"/>
          </w:tcPr>
          <w:p>
            <w:pPr>
              <w:jc w:val="both"/>
              <w:rPr>
                <w:rFonts w:ascii="宋体" w:hAnsi="宋体"/>
                <w:szCs w:val="21"/>
              </w:rPr>
            </w:pPr>
            <w:r>
              <w:rPr>
                <w:rFonts w:hint="eastAsia" w:ascii="宋体" w:hAnsi="宋体"/>
                <w:szCs w:val="21"/>
              </w:rPr>
              <w:t>企业事业单位或者其他组织</w:t>
            </w:r>
            <w:r>
              <w:rPr>
                <w:rFonts w:hint="eastAsia" w:ascii="宋体" w:hAnsi="宋体"/>
                <w:szCs w:val="21"/>
                <w:lang w:eastAsia="zh-CN"/>
              </w:rPr>
              <w:t>未按国家有关规定设置原始记录、统计台账的</w:t>
            </w:r>
          </w:p>
        </w:tc>
        <w:tc>
          <w:tcPr>
            <w:tcW w:w="3285" w:type="dxa"/>
            <w:vMerge w:val="restart"/>
            <w:vAlign w:val="center"/>
          </w:tcPr>
          <w:p>
            <w:pPr>
              <w:jc w:val="both"/>
              <w:rPr>
                <w:rFonts w:hint="eastAsia" w:ascii="宋体" w:hAnsi="宋体"/>
                <w:szCs w:val="21"/>
              </w:rPr>
            </w:pPr>
            <w:r>
              <w:rPr>
                <w:rFonts w:hint="eastAsia" w:ascii="宋体" w:hAnsi="宋体"/>
                <w:szCs w:val="21"/>
                <w:lang w:eastAsia="zh-CN"/>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r>
              <w:rPr>
                <w:rFonts w:hint="eastAsia" w:ascii="宋体" w:hAnsi="宋体"/>
                <w:szCs w:val="21"/>
              </w:rPr>
              <w:t>。</w:t>
            </w:r>
          </w:p>
          <w:p>
            <w:pPr>
              <w:jc w:val="both"/>
              <w:rPr>
                <w:rFonts w:hint="eastAsia" w:ascii="宋体" w:hAnsi="宋体"/>
                <w:szCs w:val="21"/>
              </w:rPr>
            </w:pPr>
            <w:r>
              <w:rPr>
                <w:rFonts w:hint="eastAsia" w:ascii="宋体" w:hAnsi="宋体"/>
                <w:szCs w:val="21"/>
                <w:lang w:eastAsia="zh-CN"/>
              </w:rPr>
              <w:t>《中华人民共和国行政处罚法》第二十七条“</w:t>
            </w:r>
            <w:r>
              <w:rPr>
                <w:rFonts w:hint="eastAsia" w:ascii="宋体" w:hAnsi="宋体"/>
                <w:szCs w:val="21"/>
              </w:rPr>
              <w:t>当事人有下列情形之一的，应当依法从轻或者减轻行政处罚:（一）主动消除或者减轻违法行为危害后果的；（二）受他人胁迫有违法行为的；（三）配合行政机关查处违法行为有立功表现的；（四）其他依法从轻或者减轻行政处罚的。违法行为轻微并及时纠正，没有造成危害后果的，不予行政处罚</w:t>
            </w:r>
            <w:r>
              <w:rPr>
                <w:rFonts w:hint="eastAsia" w:ascii="宋体" w:hAnsi="宋体"/>
                <w:szCs w:val="21"/>
                <w:lang w:eastAsia="zh-CN"/>
              </w:rPr>
              <w:t>”</w:t>
            </w:r>
            <w:r>
              <w:rPr>
                <w:rFonts w:hint="eastAsia" w:ascii="宋体" w:hAnsi="宋体"/>
                <w:szCs w:val="21"/>
              </w:rPr>
              <w:t>。</w:t>
            </w:r>
          </w:p>
        </w:tc>
        <w:tc>
          <w:tcPr>
            <w:tcW w:w="1350"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轻微</w:t>
            </w:r>
          </w:p>
        </w:tc>
        <w:tc>
          <w:tcPr>
            <w:tcW w:w="1395" w:type="dxa"/>
            <w:tcBorders>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首次被发现，违法情节轻微，未造成危害后果，并主动纠正或者在限期内改正的</w:t>
            </w:r>
          </w:p>
        </w:tc>
        <w:tc>
          <w:tcPr>
            <w:tcW w:w="1478" w:type="dxa"/>
            <w:tcBorders>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lang w:eastAsia="zh-CN"/>
              </w:rPr>
              <w:t>责令改正</w:t>
            </w:r>
          </w:p>
        </w:tc>
        <w:tc>
          <w:tcPr>
            <w:tcW w:w="708" w:type="dxa"/>
            <w:tcBorders>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一般</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2次</w:t>
            </w:r>
            <w:r>
              <w:rPr>
                <w:rFonts w:hint="eastAsia" w:ascii="宋体" w:hAnsi="宋体"/>
                <w:szCs w:val="21"/>
                <w:lang w:eastAsia="zh-CN"/>
              </w:rPr>
              <w:t>并主动纠正的</w:t>
            </w:r>
          </w:p>
        </w:tc>
        <w:tc>
          <w:tcPr>
            <w:tcW w:w="1478" w:type="dxa"/>
            <w:tcBorders>
              <w:top w:val="single" w:color="auto" w:sz="4" w:space="0"/>
              <w:bottom w:val="single" w:color="auto" w:sz="4" w:space="0"/>
            </w:tcBorders>
            <w:vAlign w:val="center"/>
          </w:tcPr>
          <w:p>
            <w:pPr>
              <w:jc w:val="left"/>
              <w:rPr>
                <w:rFonts w:hint="eastAsia" w:ascii="宋体" w:hAnsi="宋体"/>
                <w:szCs w:val="21"/>
              </w:rPr>
            </w:pPr>
            <w:r>
              <w:rPr>
                <w:rFonts w:hint="eastAsia" w:ascii="宋体" w:hAnsi="宋体"/>
                <w:szCs w:val="21"/>
              </w:rPr>
              <w:t>给予“警告”或“警告并处</w:t>
            </w:r>
            <w:r>
              <w:rPr>
                <w:rFonts w:hint="eastAsia" w:ascii="宋体" w:hAnsi="宋体"/>
                <w:szCs w:val="21"/>
                <w:lang w:eastAsia="zh-CN"/>
              </w:rPr>
              <w:t>三千元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5" w:hRule="exact"/>
        </w:trPr>
        <w:tc>
          <w:tcPr>
            <w:tcW w:w="709" w:type="dxa"/>
            <w:vMerge w:val="continue"/>
            <w:vAlign w:val="center"/>
          </w:tcPr>
          <w:p>
            <w:pPr>
              <w:jc w:val="center"/>
              <w:rPr>
                <w:rFonts w:hint="eastAsia" w:ascii="宋体" w:hAnsi="宋体"/>
                <w:szCs w:val="21"/>
              </w:rPr>
            </w:pPr>
          </w:p>
        </w:tc>
        <w:tc>
          <w:tcPr>
            <w:tcW w:w="709" w:type="dxa"/>
            <w:vMerge w:val="continue"/>
            <w:vAlign w:val="center"/>
          </w:tcPr>
          <w:p>
            <w:pPr>
              <w:jc w:val="center"/>
              <w:rPr>
                <w:rFonts w:hint="eastAsia" w:ascii="宋体" w:hAnsi="宋体"/>
                <w:szCs w:val="21"/>
              </w:rPr>
            </w:pPr>
          </w:p>
        </w:tc>
        <w:tc>
          <w:tcPr>
            <w:tcW w:w="714" w:type="dxa"/>
            <w:vMerge w:val="continue"/>
            <w:vAlign w:val="center"/>
          </w:tcPr>
          <w:p>
            <w:pPr>
              <w:jc w:val="left"/>
              <w:rPr>
                <w:rFonts w:hint="eastAsia" w:ascii="宋体" w:hAnsi="宋体"/>
                <w:szCs w:val="21"/>
              </w:rPr>
            </w:pPr>
          </w:p>
        </w:tc>
        <w:tc>
          <w:tcPr>
            <w:tcW w:w="3285" w:type="dxa"/>
            <w:vMerge w:val="continue"/>
            <w:vAlign w:val="center"/>
          </w:tcPr>
          <w:p>
            <w:pPr>
              <w:jc w:val="center"/>
              <w:rPr>
                <w:rFonts w:hint="eastAsia" w:ascii="宋体" w:hAnsi="宋体"/>
                <w:szCs w:val="21"/>
              </w:rPr>
            </w:pPr>
          </w:p>
        </w:tc>
        <w:tc>
          <w:tcPr>
            <w:tcW w:w="1350" w:type="dxa"/>
            <w:tcBorders>
              <w:top w:val="single" w:color="auto" w:sz="4" w:space="0"/>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较重</w:t>
            </w:r>
          </w:p>
        </w:tc>
        <w:tc>
          <w:tcPr>
            <w:tcW w:w="1395" w:type="dxa"/>
            <w:tcBorders>
              <w:top w:val="single" w:color="auto" w:sz="4" w:space="0"/>
              <w:bottom w:val="single" w:color="auto" w:sz="4" w:space="0"/>
            </w:tcBorders>
            <w:vAlign w:val="center"/>
          </w:tcPr>
          <w:p>
            <w:pPr>
              <w:widowControl/>
              <w:spacing w:before="75" w:line="360" w:lineRule="exact"/>
              <w:jc w:val="both"/>
              <w:rPr>
                <w:rFonts w:hint="eastAsia" w:ascii="宋体" w:hAnsi="宋体" w:eastAsia="宋体"/>
                <w:szCs w:val="21"/>
                <w:lang w:eastAsia="zh-CN"/>
              </w:rPr>
            </w:pPr>
            <w:r>
              <w:rPr>
                <w:rFonts w:hint="eastAsia" w:ascii="宋体" w:hAnsi="宋体"/>
                <w:szCs w:val="21"/>
                <w:lang w:eastAsia="zh-CN"/>
              </w:rPr>
              <w:t>一年内被发现</w:t>
            </w:r>
            <w:r>
              <w:rPr>
                <w:rFonts w:hint="eastAsia" w:ascii="宋体" w:hAnsi="宋体"/>
                <w:szCs w:val="21"/>
                <w:lang w:val="en-US" w:eastAsia="zh-CN"/>
              </w:rPr>
              <w:t>3次并</w:t>
            </w:r>
            <w:r>
              <w:rPr>
                <w:rFonts w:hint="eastAsia" w:ascii="宋体" w:hAnsi="宋体"/>
                <w:szCs w:val="21"/>
                <w:lang w:eastAsia="zh-CN"/>
              </w:rPr>
              <w:t>在限期内改正的</w:t>
            </w:r>
          </w:p>
        </w:tc>
        <w:tc>
          <w:tcPr>
            <w:tcW w:w="1478" w:type="dxa"/>
            <w:tcBorders>
              <w:top w:val="single" w:color="auto" w:sz="4" w:space="0"/>
              <w:bottom w:val="single" w:color="auto" w:sz="4" w:space="0"/>
            </w:tcBorders>
            <w:vAlign w:val="center"/>
          </w:tcPr>
          <w:p>
            <w:pPr>
              <w:jc w:val="left"/>
              <w:rPr>
                <w:rFonts w:hint="eastAsia" w:ascii="宋体" w:hAnsi="宋体" w:eastAsia="宋体"/>
                <w:szCs w:val="21"/>
                <w:lang w:eastAsia="zh-CN"/>
              </w:rPr>
            </w:pPr>
            <w:r>
              <w:rPr>
                <w:rFonts w:hint="eastAsia" w:ascii="宋体" w:hAnsi="宋体"/>
                <w:szCs w:val="21"/>
              </w:rPr>
              <w:t>给予“警告并处</w:t>
            </w:r>
            <w:r>
              <w:rPr>
                <w:rFonts w:hint="eastAsia" w:ascii="宋体" w:hAnsi="宋体"/>
                <w:szCs w:val="21"/>
                <w:lang w:eastAsia="zh-CN"/>
              </w:rPr>
              <w:t>三千元以上一万元</w:t>
            </w:r>
            <w:r>
              <w:rPr>
                <w:rFonts w:hint="eastAsia" w:ascii="宋体" w:hAnsi="宋体"/>
                <w:szCs w:val="21"/>
              </w:rPr>
              <w:t>以下罚款”</w:t>
            </w:r>
          </w:p>
        </w:tc>
        <w:tc>
          <w:tcPr>
            <w:tcW w:w="708" w:type="dxa"/>
            <w:tcBorders>
              <w:top w:val="single" w:color="auto" w:sz="4" w:space="0"/>
              <w:bottom w:val="single" w:color="auto" w:sz="4" w:space="0"/>
            </w:tcBorders>
            <w:vAlign w:val="center"/>
          </w:tcPr>
          <w:p>
            <w:pPr>
              <w:jc w:val="center"/>
            </w:pPr>
          </w:p>
        </w:tc>
      </w:tr>
    </w:tbl>
    <w:p/>
    <w:p>
      <w:pPr>
        <w:rPr>
          <w:rFonts w:ascii="仿宋_GB2312" w:eastAsia="仿宋_GB2312"/>
          <w:sz w:val="32"/>
          <w:szCs w:val="32"/>
        </w:rPr>
      </w:pPr>
    </w:p>
    <w:sectPr>
      <w:footerReference r:id="rId3" w:type="default"/>
      <w:pgSz w:w="11906" w:h="16838"/>
      <w:pgMar w:top="1418" w:right="1644" w:bottom="141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216686594"/>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2613"/>
    <w:rsid w:val="000121D4"/>
    <w:rsid w:val="00074057"/>
    <w:rsid w:val="000A6635"/>
    <w:rsid w:val="000E252C"/>
    <w:rsid w:val="00170367"/>
    <w:rsid w:val="001803C2"/>
    <w:rsid w:val="00192ECA"/>
    <w:rsid w:val="001937E9"/>
    <w:rsid w:val="001A4E42"/>
    <w:rsid w:val="00232FC5"/>
    <w:rsid w:val="002345B7"/>
    <w:rsid w:val="00252588"/>
    <w:rsid w:val="002E5A09"/>
    <w:rsid w:val="003226BC"/>
    <w:rsid w:val="003372F0"/>
    <w:rsid w:val="00343A36"/>
    <w:rsid w:val="00352692"/>
    <w:rsid w:val="003C5481"/>
    <w:rsid w:val="004317C7"/>
    <w:rsid w:val="0044145A"/>
    <w:rsid w:val="00463261"/>
    <w:rsid w:val="0046509C"/>
    <w:rsid w:val="004C06C2"/>
    <w:rsid w:val="004D2C7A"/>
    <w:rsid w:val="004E7E2C"/>
    <w:rsid w:val="004F3ABA"/>
    <w:rsid w:val="00515901"/>
    <w:rsid w:val="005A3E2C"/>
    <w:rsid w:val="00607482"/>
    <w:rsid w:val="00624113"/>
    <w:rsid w:val="006241CE"/>
    <w:rsid w:val="00641773"/>
    <w:rsid w:val="006432BA"/>
    <w:rsid w:val="00652F05"/>
    <w:rsid w:val="006A3D0A"/>
    <w:rsid w:val="006A7467"/>
    <w:rsid w:val="006B3121"/>
    <w:rsid w:val="006D3907"/>
    <w:rsid w:val="00713355"/>
    <w:rsid w:val="00755B41"/>
    <w:rsid w:val="008331A3"/>
    <w:rsid w:val="0084543A"/>
    <w:rsid w:val="008552F6"/>
    <w:rsid w:val="00864A5D"/>
    <w:rsid w:val="00883985"/>
    <w:rsid w:val="008866A5"/>
    <w:rsid w:val="00894934"/>
    <w:rsid w:val="00930EFB"/>
    <w:rsid w:val="00941E14"/>
    <w:rsid w:val="00964047"/>
    <w:rsid w:val="009D2452"/>
    <w:rsid w:val="009F1E1A"/>
    <w:rsid w:val="00A4319E"/>
    <w:rsid w:val="00A46D2F"/>
    <w:rsid w:val="00A56D38"/>
    <w:rsid w:val="00A77C8C"/>
    <w:rsid w:val="00AD6B66"/>
    <w:rsid w:val="00AF640B"/>
    <w:rsid w:val="00B96737"/>
    <w:rsid w:val="00BA47CC"/>
    <w:rsid w:val="00BB57E9"/>
    <w:rsid w:val="00C11B2E"/>
    <w:rsid w:val="00C16F72"/>
    <w:rsid w:val="00C41FA1"/>
    <w:rsid w:val="00C542FA"/>
    <w:rsid w:val="00C90368"/>
    <w:rsid w:val="00CD26BE"/>
    <w:rsid w:val="00CF6AB0"/>
    <w:rsid w:val="00D1396F"/>
    <w:rsid w:val="00D56D97"/>
    <w:rsid w:val="00D737E8"/>
    <w:rsid w:val="00DA491D"/>
    <w:rsid w:val="00DF3680"/>
    <w:rsid w:val="00E11201"/>
    <w:rsid w:val="00E3486A"/>
    <w:rsid w:val="00E464AF"/>
    <w:rsid w:val="00E57082"/>
    <w:rsid w:val="00E63AE6"/>
    <w:rsid w:val="00E8039D"/>
    <w:rsid w:val="00EB46DD"/>
    <w:rsid w:val="00ED2613"/>
    <w:rsid w:val="00ED2B19"/>
    <w:rsid w:val="00ED6DB0"/>
    <w:rsid w:val="00EF2BF5"/>
    <w:rsid w:val="00F17262"/>
    <w:rsid w:val="00F27267"/>
    <w:rsid w:val="00F354CB"/>
    <w:rsid w:val="00FD12DC"/>
    <w:rsid w:val="273C6375"/>
    <w:rsid w:val="411D00ED"/>
    <w:rsid w:val="49FF6F02"/>
    <w:rsid w:val="51E74479"/>
    <w:rsid w:val="5C37697C"/>
    <w:rsid w:val="616913FC"/>
    <w:rsid w:val="63662D1F"/>
    <w:rsid w:val="660E7608"/>
    <w:rsid w:val="66B70A20"/>
    <w:rsid w:val="6C366E22"/>
    <w:rsid w:val="6FE278A4"/>
    <w:rsid w:val="78B15B37"/>
    <w:rsid w:val="794D5061"/>
    <w:rsid w:val="F77B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0"/>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Char"/>
    <w:basedOn w:val="1"/>
    <w:qFormat/>
    <w:uiPriority w:val="0"/>
    <w:pPr>
      <w:widowControl/>
      <w:jc w:val="left"/>
    </w:pPr>
    <w:rPr>
      <w:rFonts w:ascii="Tahoma" w:hAnsi="Tahoma" w:eastAsia="宋体" w:cs="仿宋_GB2312"/>
      <w:kern w:val="0"/>
      <w:sz w:val="24"/>
      <w:szCs w:val="20"/>
    </w:rPr>
  </w:style>
  <w:style w:type="paragraph" w:customStyle="1" w:styleId="14">
    <w:name w:val="List Paragraph"/>
    <w:basedOn w:val="1"/>
    <w:qFormat/>
    <w:uiPriority w:val="34"/>
    <w:pPr>
      <w:ind w:firstLine="420" w:firstLineChars="200"/>
    </w:pPr>
  </w:style>
  <w:style w:type="paragraph" w:customStyle="1" w:styleId="15">
    <w:name w:val="Heading #2|1"/>
    <w:basedOn w:val="1"/>
    <w:qFormat/>
    <w:uiPriority w:val="0"/>
    <w:pPr>
      <w:spacing w:after="400" w:line="619" w:lineRule="exact"/>
      <w:jc w:val="center"/>
      <w:outlineLvl w:val="1"/>
    </w:pPr>
    <w:rPr>
      <w:rFonts w:ascii="宋体" w:hAnsi="宋体" w:eastAsia="宋体" w:cs="宋体"/>
      <w:sz w:val="42"/>
      <w:szCs w:val="42"/>
      <w:lang w:val="zh-TW" w:eastAsia="zh-TW" w:bidi="zh-TW"/>
    </w:rPr>
  </w:style>
  <w:style w:type="paragraph" w:customStyle="1" w:styleId="16">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17">
    <w:name w:val="Body text|2"/>
    <w:basedOn w:val="1"/>
    <w:qFormat/>
    <w:uiPriority w:val="0"/>
    <w:pPr>
      <w:spacing w:after="1200"/>
      <w:jc w:val="center"/>
    </w:pPr>
    <w:rPr>
      <w:rFonts w:ascii="Calibri" w:hAnsi="Calibri" w:eastAsia="宋体" w:cs="Times New Roman"/>
      <w:sz w:val="30"/>
      <w:szCs w:val="30"/>
      <w:lang w:val="zh-TW" w:eastAsia="zh-TW" w:bidi="zh-TW"/>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859</Words>
  <Characters>4898</Characters>
  <Lines>40</Lines>
  <Paragraphs>11</Paragraphs>
  <ScaleCrop>false</ScaleCrop>
  <LinksUpToDate>false</LinksUpToDate>
  <CharactersWithSpaces>5746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2020-09-14T14:30:00Z</dcterms:created>
  <dc:creator>Windows 用户</dc:creator>
  <cp:lastModifiedBy>Administrator</cp:lastModifiedBy>
  <cp:lastPrinted>2020-11-04T00:59:00Z</cp:lastPrinted>
  <dcterms:modified xsi:type="dcterms:W3CDTF">2020-11-04T08:39:00Z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